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717C3" w:rsidR="009E5294" w:rsidP="00607013" w:rsidRDefault="009E5294" w14:paraId="15D3BF5F" w14:textId="4BC83C84">
      <w:pPr>
        <w:jc w:val="right"/>
        <w:rPr>
          <w:color w:val="FFFFFF" w:themeColor="background1"/>
        </w:rPr>
      </w:pPr>
      <w:r>
        <w:rPr>
          <w:color w:val="FFFFFF" w:themeColor="background1"/>
          <w:lang w:val="fr-BE"/>
        </w:rPr>
        <w:t xml:space="preserve"> </w:t>
      </w:r>
    </w:p>
    <w:tbl>
      <w:tblPr>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6600"/>
        <w:tblLook w:val="01E0" w:firstRow="1" w:lastRow="1" w:firstColumn="1" w:lastColumn="1" w:noHBand="0" w:noVBand="0"/>
      </w:tblPr>
      <w:tblGrid>
        <w:gridCol w:w="9640"/>
      </w:tblGrid>
      <w:tr w:rsidRPr="00596F17" w:rsidR="009717C3" w:rsidTr="30D8A662" w14:paraId="15D3BF61" w14:textId="77777777">
        <w:trPr>
          <w:trHeight w:val="368"/>
        </w:trPr>
        <w:tc>
          <w:tcPr>
            <w:tcW w:w="9640" w:type="dxa"/>
            <w:tcBorders>
              <w:top w:val="nil"/>
              <w:left w:val="nil"/>
              <w:bottom w:val="nil"/>
              <w:right w:val="nil"/>
            </w:tcBorders>
            <w:shd w:val="clear" w:color="auto" w:fill="008000"/>
            <w:tcMar/>
            <w:vAlign w:val="center"/>
          </w:tcPr>
          <w:p w:rsidRPr="00596F17" w:rsidR="00607013" w:rsidP="009717C3" w:rsidRDefault="009717C3" w14:paraId="15D3BF60" w14:textId="6AC23723">
            <w:pPr>
              <w:rPr>
                <w:rFonts w:eastAsia="Arial" w:cs="Arial"/>
                <w:b w:val="1"/>
                <w:bCs w:val="1"/>
                <w:color w:val="FFFFFF" w:themeColor="background1"/>
                <w:sz w:val="24"/>
                <w:szCs w:val="24"/>
                <w:u w:val="single"/>
                <w:lang w:val="fr-FR"/>
              </w:rPr>
            </w:pPr>
            <w:r w:rsidRPr="30D8A662" w:rsidR="009717C3">
              <w:rPr>
                <w:rFonts w:eastAsia="Arial" w:cs="Arial"/>
                <w:b w:val="1"/>
                <w:bCs w:val="1"/>
                <w:color w:val="FFFFFF" w:themeColor="background1" w:themeTint="FF" w:themeShade="FF"/>
                <w:sz w:val="24"/>
                <w:szCs w:val="24"/>
                <w:lang w:val="fr-BE"/>
              </w:rPr>
              <w:t xml:space="preserve">Redémarrage </w:t>
            </w:r>
            <w:r w:rsidRPr="30D8A662" w:rsidR="419BC96E">
              <w:rPr>
                <w:rFonts w:eastAsia="Arial" w:cs="Arial"/>
                <w:b w:val="1"/>
                <w:bCs w:val="1"/>
                <w:color w:val="FFFFFF" w:themeColor="background1" w:themeTint="FF" w:themeShade="FF"/>
                <w:sz w:val="24"/>
                <w:szCs w:val="24"/>
                <w:lang w:val="fr-BE"/>
              </w:rPr>
              <w:t xml:space="preserve">des </w:t>
            </w:r>
            <w:r w:rsidRPr="30D8A662" w:rsidR="009717C3">
              <w:rPr>
                <w:rFonts w:eastAsia="Arial" w:cs="Arial"/>
                <w:b w:val="1"/>
                <w:bCs w:val="1"/>
                <w:color w:val="FFFFFF" w:themeColor="background1" w:themeTint="FF" w:themeShade="FF"/>
                <w:sz w:val="24"/>
                <w:szCs w:val="24"/>
                <w:lang w:val="fr-BE"/>
              </w:rPr>
              <w:t xml:space="preserve">installations sanitaires après une période d'inactivité en raison des mesures prises dans le cadre du coronavirus - </w:t>
            </w:r>
            <w:r w:rsidRPr="30D8A662" w:rsidR="009717C3">
              <w:rPr>
                <w:rFonts w:eastAsia="Arial" w:cs="Arial"/>
                <w:b w:val="1"/>
                <w:bCs w:val="1"/>
                <w:color w:val="FFFFFF" w:themeColor="background1" w:themeTint="FF" w:themeShade="FF"/>
                <w:sz w:val="24"/>
                <w:szCs w:val="24"/>
                <w:u w:val="single"/>
                <w:lang w:val="fr-BE"/>
              </w:rPr>
              <w:t>légionellose</w:t>
            </w:r>
          </w:p>
        </w:tc>
      </w:tr>
    </w:tbl>
    <w:p w:rsidRPr="00596F17" w:rsidR="00607013" w:rsidP="00DE2A01" w:rsidRDefault="00607013" w14:paraId="15D3BF62" w14:textId="77777777">
      <w:pPr>
        <w:rPr>
          <w:lang w:val="fr-FR"/>
        </w:rPr>
      </w:pPr>
    </w:p>
    <w:p w:rsidRPr="00596F17" w:rsidR="009717C3" w:rsidP="009717C3" w:rsidRDefault="009717C3" w14:paraId="54354625" w14:textId="4376E44C">
      <w:pPr>
        <w:ind w:left="-284"/>
        <w:rPr>
          <w:rFonts w:cs="Arial"/>
          <w:lang w:val="fr-FR"/>
        </w:rPr>
      </w:pPr>
      <w:r w:rsidRPr="30D8A662" w:rsidR="009717C3">
        <w:rPr>
          <w:rFonts w:cs="Arial"/>
          <w:lang w:val="fr-BE"/>
        </w:rPr>
        <w:t>Si un point de puisage (robinet, robinet avec pulvérisateur, douche, baignoire, humidificateur...) ou des parties d'une canalisation ne sont pas utilisés/rincés pendant plus d'une semaine, le redémarrage constitue un moment à risque pour la propagation de légionelles.  Legionella pneumophila sérotype 1 est la principale cause de fièvre de Pontiac et de légionellose (maladie du légionnaire).  C'est pourquoi il est recommandé de prendre un certain nombre de précautions en vue de limiter le plus possible les risques sanitaires.</w:t>
      </w:r>
    </w:p>
    <w:p w:rsidRPr="00596F17" w:rsidR="009717C3" w:rsidP="009717C3" w:rsidRDefault="009717C3" w14:paraId="1AD0D348" w14:textId="77777777">
      <w:pPr>
        <w:jc w:val="both"/>
        <w:rPr>
          <w:rFonts w:eastAsia="Arial" w:cs="Arial"/>
          <w:lang w:val="fr-FR"/>
        </w:rPr>
      </w:pPr>
    </w:p>
    <w:p w:rsidRPr="00596F17" w:rsidR="009717C3" w:rsidP="009717C3" w:rsidRDefault="009717C3" w14:paraId="584642D4" w14:textId="77777777">
      <w:pPr>
        <w:ind w:hanging="284"/>
        <w:jc w:val="both"/>
        <w:rPr>
          <w:rFonts w:cs="Arial"/>
          <w:b/>
          <w:bCs/>
          <w:color w:val="008000"/>
          <w:sz w:val="22"/>
          <w:szCs w:val="22"/>
          <w:lang w:val="fr-FR"/>
        </w:rPr>
      </w:pPr>
      <w:r>
        <w:rPr>
          <w:rFonts w:cs="Arial"/>
          <w:b/>
          <w:bCs/>
          <w:color w:val="008000"/>
          <w:sz w:val="22"/>
          <w:szCs w:val="22"/>
          <w:lang w:val="fr-BE"/>
        </w:rPr>
        <w:t>Eau froide</w:t>
      </w:r>
    </w:p>
    <w:p w:rsidRPr="00596F17" w:rsidR="009717C3" w:rsidP="009717C3" w:rsidRDefault="009717C3" w14:paraId="1A7E9868" w14:textId="77777777">
      <w:pPr>
        <w:jc w:val="both"/>
        <w:rPr>
          <w:rFonts w:cs="Arial"/>
          <w:lang w:val="fr-FR"/>
        </w:rPr>
      </w:pPr>
    </w:p>
    <w:p w:rsidRPr="00596F17" w:rsidR="009717C3" w:rsidP="30D8A662" w:rsidRDefault="009717C3" w14:paraId="05A99C03" w14:textId="57535FC5">
      <w:pPr>
        <w:pStyle w:val="Normal"/>
        <w:ind w:left="-284"/>
        <w:jc w:val="both"/>
        <w:rPr>
          <w:rFonts w:cs="Arial"/>
          <w:lang w:val="fr-FR"/>
        </w:rPr>
      </w:pPr>
      <w:r w:rsidRPr="30D8A662" w:rsidR="42775433">
        <w:rPr>
          <w:rFonts w:ascii="Arial" w:hAnsi="Arial" w:eastAsia="Arial" w:cs="Arial"/>
          <w:noProof w:val="0"/>
          <w:sz w:val="18"/>
          <w:szCs w:val="18"/>
          <w:lang w:val="fr"/>
        </w:rPr>
        <w:t>Effectuez un programme de rinçage à l’eau froide de toutes les conduites et des points de puisage d’eau froide</w:t>
      </w:r>
      <w:r w:rsidRPr="30D8A662" w:rsidR="009717C3">
        <w:rPr>
          <w:rFonts w:cs="Arial"/>
          <w:lang w:val="fr-BE"/>
        </w:rPr>
        <w:t>.</w:t>
      </w:r>
    </w:p>
    <w:p w:rsidRPr="00596F17" w:rsidR="009717C3" w:rsidP="009717C3" w:rsidRDefault="009717C3" w14:paraId="56D2C47A" w14:textId="77777777">
      <w:pPr>
        <w:tabs>
          <w:tab w:val="left" w:pos="284"/>
        </w:tabs>
        <w:ind w:left="-284" w:right="-428"/>
        <w:jc w:val="both"/>
        <w:rPr>
          <w:rFonts w:cs="Arial"/>
          <w:bCs/>
          <w:lang w:val="fr-FR"/>
        </w:rPr>
      </w:pPr>
    </w:p>
    <w:p w:rsidRPr="00596F17" w:rsidR="009717C3" w:rsidP="30D8A662" w:rsidRDefault="009717C3" w14:paraId="5BF25FE0" w14:textId="4666E40D">
      <w:pPr>
        <w:pStyle w:val="Normal"/>
        <w:tabs>
          <w:tab w:val="left" w:pos="284"/>
        </w:tabs>
        <w:ind w:left="-284" w:right="-428"/>
        <w:jc w:val="both"/>
        <w:rPr>
          <w:rFonts w:cs="Arial"/>
          <w:lang w:val="fr-FR"/>
        </w:rPr>
      </w:pPr>
      <w:r w:rsidRPr="30D8A662" w:rsidR="2FD1E425">
        <w:rPr>
          <w:rFonts w:ascii="Arial" w:hAnsi="Arial" w:eastAsia="Arial" w:cs="Arial"/>
          <w:noProof w:val="0"/>
          <w:sz w:val="18"/>
          <w:szCs w:val="18"/>
          <w:lang w:val="fr"/>
        </w:rPr>
        <w:t xml:space="preserve">Ouvrez le robinet au maximum et rincez le point de puisage de sorte que la conduite soit rafraîchie 6 fois ou laissez </w:t>
      </w:r>
    </w:p>
    <w:p w:rsidRPr="00596F17" w:rsidR="009717C3" w:rsidP="30D8A662" w:rsidRDefault="009717C3" w14:paraId="6EC86EA9" w14:textId="1960115E">
      <w:pPr>
        <w:pStyle w:val="Normal"/>
        <w:tabs>
          <w:tab w:val="left" w:pos="284"/>
        </w:tabs>
        <w:ind w:left="-284" w:right="-428"/>
        <w:jc w:val="both"/>
        <w:rPr>
          <w:rFonts w:cs="Arial"/>
          <w:lang w:val="fr-FR"/>
        </w:rPr>
      </w:pPr>
      <w:r w:rsidRPr="30D8A662" w:rsidR="2FD1E425">
        <w:rPr>
          <w:rFonts w:ascii="Arial" w:hAnsi="Arial" w:eastAsia="Arial" w:cs="Arial"/>
          <w:noProof w:val="0"/>
          <w:sz w:val="18"/>
          <w:szCs w:val="18"/>
          <w:lang w:val="fr"/>
        </w:rPr>
        <w:t>couler l’eau pendant environ 5 minutes.</w:t>
      </w:r>
      <w:r w:rsidRPr="30D8A662" w:rsidR="009717C3">
        <w:rPr>
          <w:rFonts w:cs="Arial"/>
          <w:lang w:val="fr-BE"/>
        </w:rPr>
        <w:t xml:space="preserve"> </w:t>
      </w:r>
    </w:p>
    <w:p w:rsidRPr="00596F17" w:rsidR="009717C3" w:rsidP="009717C3" w:rsidRDefault="009717C3" w14:paraId="1A4A2A48" w14:textId="77777777">
      <w:pPr>
        <w:spacing w:line="257" w:lineRule="auto"/>
        <w:ind w:left="-284"/>
        <w:jc w:val="both"/>
        <w:rPr>
          <w:rFonts w:ascii="Calibri" w:hAnsi="Calibri" w:eastAsia="Calibri" w:cs="Calibri"/>
          <w:lang w:val="fr-FR"/>
        </w:rPr>
      </w:pPr>
    </w:p>
    <w:p w:rsidRPr="00596F17" w:rsidR="009717C3" w:rsidP="009717C3" w:rsidRDefault="009717C3" w14:paraId="2A44BA63" w14:textId="77777777">
      <w:pPr>
        <w:spacing w:line="257" w:lineRule="auto"/>
        <w:ind w:left="-284"/>
        <w:jc w:val="both"/>
        <w:rPr>
          <w:rFonts w:eastAsia="Arial" w:cs="Arial"/>
          <w:lang w:val="fr-FR"/>
        </w:rPr>
      </w:pPr>
      <w:r>
        <w:rPr>
          <w:rFonts w:eastAsia="Arial" w:cs="Arial"/>
          <w:lang w:val="fr-BE"/>
        </w:rPr>
        <w:t>Il est recommandé d'empêcher autant que possible la formation d'aérosols due à des projections d'eau, par exemple en plaçant une éponge ou tout un autre matériau absorbant en dessous du jet et en démontant les pommeaux de douche avant le rinçage. Les pommeaux de douche qui ne peuvent être démontés peuvent être entourés d'un sac avec une ouverture.</w:t>
      </w:r>
    </w:p>
    <w:p w:rsidRPr="00596F17" w:rsidR="009717C3" w:rsidP="009717C3" w:rsidRDefault="009717C3" w14:paraId="29AF4494" w14:textId="77777777">
      <w:pPr>
        <w:rPr>
          <w:u w:val="single"/>
          <w:lang w:val="fr-FR"/>
        </w:rPr>
      </w:pPr>
    </w:p>
    <w:p w:rsidRPr="00596F17" w:rsidR="009717C3" w:rsidP="009717C3" w:rsidRDefault="009717C3" w14:paraId="43E6A8B9" w14:textId="77777777">
      <w:pPr>
        <w:ind w:hanging="284"/>
        <w:jc w:val="both"/>
        <w:rPr>
          <w:rFonts w:cs="Arial"/>
          <w:b/>
          <w:bCs/>
          <w:color w:val="008000"/>
          <w:sz w:val="22"/>
          <w:szCs w:val="22"/>
          <w:lang w:val="fr-FR"/>
        </w:rPr>
      </w:pPr>
      <w:r>
        <w:rPr>
          <w:rFonts w:cs="Arial"/>
          <w:b/>
          <w:bCs/>
          <w:color w:val="008000"/>
          <w:sz w:val="22"/>
          <w:szCs w:val="22"/>
          <w:lang w:val="fr-BE"/>
        </w:rPr>
        <w:t>Eau chaude</w:t>
      </w:r>
    </w:p>
    <w:p w:rsidRPr="00596F17" w:rsidR="009717C3" w:rsidP="009717C3" w:rsidRDefault="009717C3" w14:paraId="2C3A5E90" w14:textId="77777777">
      <w:pPr>
        <w:ind w:left="-284"/>
        <w:rPr>
          <w:lang w:val="fr-FR"/>
        </w:rPr>
      </w:pPr>
    </w:p>
    <w:p w:rsidRPr="00596F17" w:rsidR="009717C3" w:rsidP="009717C3" w:rsidRDefault="009717C3" w14:paraId="70D40C20" w14:textId="2109C316">
      <w:pPr>
        <w:ind w:left="-284"/>
        <w:rPr>
          <w:lang w:val="fr-FR"/>
        </w:rPr>
      </w:pPr>
      <w:r>
        <w:rPr>
          <w:lang w:val="fr-BE"/>
        </w:rPr>
        <w:t xml:space="preserve">Les légionelles peuvent également se développer dans les conduites d'eau chaude. Une désinfection thermique permet de les éliminer. </w:t>
      </w:r>
    </w:p>
    <w:p w:rsidRPr="00596F17" w:rsidR="009717C3" w:rsidP="009717C3" w:rsidRDefault="009717C3" w14:paraId="11E20A89" w14:textId="77777777">
      <w:pPr>
        <w:rPr>
          <w:lang w:val="fr-FR"/>
        </w:rPr>
      </w:pPr>
    </w:p>
    <w:p w:rsidRPr="00596F17" w:rsidR="009717C3" w:rsidP="009717C3" w:rsidRDefault="009717C3" w14:paraId="27BAEB55" w14:textId="77777777">
      <w:pPr>
        <w:ind w:left="284" w:hanging="284"/>
        <w:jc w:val="both"/>
        <w:rPr>
          <w:rFonts w:cs="Arial"/>
          <w:b/>
          <w:bCs/>
          <w:color w:val="008000"/>
          <w:sz w:val="20"/>
          <w:szCs w:val="20"/>
          <w:lang w:val="fr-FR"/>
        </w:rPr>
      </w:pPr>
      <w:r>
        <w:rPr>
          <w:rFonts w:cs="Arial"/>
          <w:b/>
          <w:bCs/>
          <w:color w:val="008000"/>
          <w:sz w:val="20"/>
          <w:szCs w:val="20"/>
          <w:lang w:val="fr-BE"/>
        </w:rPr>
        <w:t>Marche à suivre</w:t>
      </w:r>
    </w:p>
    <w:p w:rsidRPr="00596F17" w:rsidR="009717C3" w:rsidP="009717C3" w:rsidRDefault="009717C3" w14:paraId="48E2F33F" w14:textId="77777777">
      <w:pPr>
        <w:rPr>
          <w:u w:val="single"/>
          <w:lang w:val="fr-FR"/>
        </w:rPr>
      </w:pPr>
    </w:p>
    <w:p w:rsidRPr="00596F17" w:rsidR="009717C3" w:rsidP="009717C3" w:rsidRDefault="009717C3" w14:paraId="459A89C9" w14:textId="0E8DF591">
      <w:pPr>
        <w:rPr>
          <w:lang w:val="fr-FR"/>
        </w:rPr>
      </w:pPr>
      <w:r>
        <w:rPr>
          <w:lang w:val="fr-BE"/>
        </w:rPr>
        <w:t xml:space="preserve">Réglez la chaudière, le chauffe-eau ou l'unité de production d'eau chaude à la température la plus haute possible (ces appareils sont généralement réglés à 50 - 60° C). Vérifiez également les mitigeurs (par exemple dans les douches communes). Réglez le mitigeur à la température la plus haute possible. </w:t>
      </w:r>
    </w:p>
    <w:p w:rsidRPr="00596F17" w:rsidR="009717C3" w:rsidP="009717C3" w:rsidRDefault="009717C3" w14:paraId="54A4ABF3" w14:textId="77777777">
      <w:pPr>
        <w:rPr>
          <w:lang w:val="fr-FR"/>
        </w:rPr>
      </w:pPr>
    </w:p>
    <w:p w:rsidRPr="00596F17" w:rsidR="009717C3" w:rsidP="009717C3" w:rsidRDefault="009717C3" w14:paraId="4C657181" w14:textId="77777777">
      <w:pPr>
        <w:pStyle w:val="ListParagraph"/>
        <w:numPr>
          <w:ilvl w:val="0"/>
          <w:numId w:val="9"/>
        </w:numPr>
        <w:suppressAutoHyphens/>
        <w:ind w:left="0" w:firstLine="0"/>
        <w:rPr>
          <w:lang w:val="fr-FR"/>
        </w:rPr>
      </w:pPr>
      <w:r>
        <w:rPr>
          <w:lang w:val="fr-BE"/>
        </w:rPr>
        <w:t>Mesurez la température atteinte au point de puisage (elle peut être différente de la température réglée).</w:t>
      </w:r>
    </w:p>
    <w:p w:rsidRPr="00596F17" w:rsidR="009717C3" w:rsidP="009717C3" w:rsidRDefault="009717C3" w14:paraId="6AC02EBD" w14:textId="77777777">
      <w:pPr>
        <w:pStyle w:val="ListParagraph"/>
        <w:numPr>
          <w:ilvl w:val="0"/>
          <w:numId w:val="9"/>
        </w:numPr>
        <w:suppressAutoHyphens/>
        <w:ind w:left="0" w:firstLine="0"/>
        <w:rPr>
          <w:lang w:val="fr-FR"/>
        </w:rPr>
      </w:pPr>
      <w:r>
        <w:rPr>
          <w:lang w:val="fr-BE"/>
        </w:rPr>
        <w:t>Rincez tous les points de puisage d'eau chaude (la durée du rinçage dépend de la température réglée).</w:t>
      </w:r>
    </w:p>
    <w:p w:rsidRPr="00596F17" w:rsidR="009717C3" w:rsidP="009717C3" w:rsidRDefault="009717C3" w14:paraId="69CDF06F" w14:textId="77777777">
      <w:pPr>
        <w:rPr>
          <w:lang w:val="fr-FR"/>
        </w:rPr>
      </w:pPr>
    </w:p>
    <w:tbl>
      <w:tblPr>
        <w:tblW w:w="4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20" w:firstRow="1" w:lastRow="0" w:firstColumn="0" w:lastColumn="0" w:noHBand="0" w:noVBand="1"/>
      </w:tblPr>
      <w:tblGrid>
        <w:gridCol w:w="2122"/>
        <w:gridCol w:w="2409"/>
      </w:tblGrid>
      <w:tr w:rsidRPr="00F24B3A" w:rsidR="009717C3" w:rsidTr="00BA005B" w14:paraId="5518EDD0" w14:textId="77777777">
        <w:trPr>
          <w:trHeight w:val="285"/>
        </w:trPr>
        <w:tc>
          <w:tcPr>
            <w:tcW w:w="2122" w:type="dxa"/>
            <w:shd w:val="clear" w:color="auto" w:fill="006600"/>
            <w:tcMar>
              <w:top w:w="72" w:type="dxa"/>
              <w:left w:w="144" w:type="dxa"/>
              <w:bottom w:w="72" w:type="dxa"/>
              <w:right w:w="144" w:type="dxa"/>
            </w:tcMar>
            <w:hideMark/>
          </w:tcPr>
          <w:p w:rsidRPr="00485E81" w:rsidR="009717C3" w:rsidP="00BA005B" w:rsidRDefault="009717C3" w14:paraId="1C8DC21F" w14:textId="77777777">
            <w:pPr>
              <w:rPr>
                <w:color w:val="FFFFFF" w:themeColor="background1"/>
              </w:rPr>
            </w:pPr>
            <w:r>
              <w:rPr>
                <w:b/>
                <w:bCs/>
                <w:color w:val="FFFFFF" w:themeColor="background1"/>
                <w:lang w:val="fr-BE"/>
              </w:rPr>
              <w:t>TEMPERATURE MESURÉE</w:t>
            </w:r>
          </w:p>
        </w:tc>
        <w:tc>
          <w:tcPr>
            <w:tcW w:w="2409" w:type="dxa"/>
            <w:shd w:val="clear" w:color="auto" w:fill="006600"/>
            <w:tcMar>
              <w:top w:w="72" w:type="dxa"/>
              <w:left w:w="144" w:type="dxa"/>
              <w:bottom w:w="72" w:type="dxa"/>
              <w:right w:w="144" w:type="dxa"/>
            </w:tcMar>
            <w:hideMark/>
          </w:tcPr>
          <w:p w:rsidRPr="00485E81" w:rsidR="009717C3" w:rsidP="00BA005B" w:rsidRDefault="009717C3" w14:paraId="055CD30B" w14:textId="77777777">
            <w:pPr>
              <w:rPr>
                <w:color w:val="FFFFFF" w:themeColor="background1"/>
              </w:rPr>
            </w:pPr>
            <w:r>
              <w:rPr>
                <w:b/>
                <w:bCs/>
                <w:color w:val="FFFFFF" w:themeColor="background1"/>
                <w:lang w:val="fr-BE"/>
              </w:rPr>
              <w:t>DURÉE DU RINÇAGE</w:t>
            </w:r>
          </w:p>
        </w:tc>
      </w:tr>
      <w:tr w:rsidRPr="00F24B3A" w:rsidR="009717C3" w:rsidTr="00BA005B" w14:paraId="6289C379" w14:textId="77777777">
        <w:trPr>
          <w:trHeight w:val="199"/>
        </w:trPr>
        <w:tc>
          <w:tcPr>
            <w:tcW w:w="2122" w:type="dxa"/>
            <w:shd w:val="clear" w:color="auto" w:fill="auto"/>
            <w:tcMar>
              <w:top w:w="72" w:type="dxa"/>
              <w:left w:w="144" w:type="dxa"/>
              <w:bottom w:w="72" w:type="dxa"/>
              <w:right w:w="144" w:type="dxa"/>
            </w:tcMar>
            <w:hideMark/>
          </w:tcPr>
          <w:p w:rsidRPr="00A073A7" w:rsidR="009717C3" w:rsidP="00BA005B" w:rsidRDefault="009717C3" w14:paraId="386833D5" w14:textId="77777777">
            <w:r>
              <w:rPr>
                <w:lang w:val="fr-BE"/>
              </w:rPr>
              <w:t>70 °C</w:t>
            </w:r>
          </w:p>
        </w:tc>
        <w:tc>
          <w:tcPr>
            <w:tcW w:w="2409" w:type="dxa"/>
            <w:shd w:val="clear" w:color="auto" w:fill="auto"/>
            <w:tcMar>
              <w:top w:w="72" w:type="dxa"/>
              <w:left w:w="144" w:type="dxa"/>
              <w:bottom w:w="72" w:type="dxa"/>
              <w:right w:w="144" w:type="dxa"/>
            </w:tcMar>
            <w:hideMark/>
          </w:tcPr>
          <w:p w:rsidRPr="00A073A7" w:rsidR="009717C3" w:rsidP="00BA005B" w:rsidRDefault="009717C3" w14:paraId="1099421B" w14:textId="77777777">
            <w:r>
              <w:rPr>
                <w:lang w:val="fr-BE"/>
              </w:rPr>
              <w:t>4 min</w:t>
            </w:r>
          </w:p>
        </w:tc>
      </w:tr>
      <w:tr w:rsidRPr="00F24B3A" w:rsidR="009717C3" w:rsidTr="00BA005B" w14:paraId="3F547D9A" w14:textId="77777777">
        <w:trPr>
          <w:trHeight w:val="333"/>
        </w:trPr>
        <w:tc>
          <w:tcPr>
            <w:tcW w:w="2122" w:type="dxa"/>
            <w:shd w:val="clear" w:color="auto" w:fill="auto"/>
            <w:tcMar>
              <w:top w:w="72" w:type="dxa"/>
              <w:left w:w="144" w:type="dxa"/>
              <w:bottom w:w="72" w:type="dxa"/>
              <w:right w:w="144" w:type="dxa"/>
            </w:tcMar>
            <w:hideMark/>
          </w:tcPr>
          <w:p w:rsidRPr="00A073A7" w:rsidR="009717C3" w:rsidP="00BA005B" w:rsidRDefault="009717C3" w14:paraId="5A1CE59A" w14:textId="77777777">
            <w:r>
              <w:rPr>
                <w:lang w:val="fr-BE"/>
              </w:rPr>
              <w:t>65 °C</w:t>
            </w:r>
          </w:p>
        </w:tc>
        <w:tc>
          <w:tcPr>
            <w:tcW w:w="2409" w:type="dxa"/>
            <w:shd w:val="clear" w:color="auto" w:fill="auto"/>
            <w:tcMar>
              <w:top w:w="72" w:type="dxa"/>
              <w:left w:w="144" w:type="dxa"/>
              <w:bottom w:w="72" w:type="dxa"/>
              <w:right w:w="144" w:type="dxa"/>
            </w:tcMar>
            <w:hideMark/>
          </w:tcPr>
          <w:p w:rsidRPr="00A073A7" w:rsidR="009717C3" w:rsidP="00BA005B" w:rsidRDefault="009717C3" w14:paraId="21A12D53" w14:textId="77777777">
            <w:r>
              <w:rPr>
                <w:lang w:val="fr-BE"/>
              </w:rPr>
              <w:t>10 min</w:t>
            </w:r>
          </w:p>
        </w:tc>
      </w:tr>
    </w:tbl>
    <w:p w:rsidRPr="00A073A7" w:rsidR="009717C3" w:rsidP="009717C3" w:rsidRDefault="009717C3" w14:paraId="27635C7B" w14:textId="77777777"/>
    <w:p w:rsidRPr="00AE56C7" w:rsidR="009717C3" w:rsidP="009717C3" w:rsidRDefault="009717C3" w14:paraId="29DFA4DD" w14:textId="77777777">
      <w:pPr>
        <w:pStyle w:val="ListParagraph"/>
        <w:numPr>
          <w:ilvl w:val="0"/>
          <w:numId w:val="9"/>
        </w:numPr>
        <w:suppressAutoHyphens/>
        <w:ind w:left="360"/>
      </w:pPr>
      <w:r>
        <w:rPr>
          <w:lang w:val="fr-BE"/>
        </w:rPr>
        <w:t>Attention aux brûlures !</w:t>
      </w:r>
    </w:p>
    <w:p w:rsidRPr="00596F17" w:rsidR="009717C3" w:rsidP="009717C3" w:rsidRDefault="009717C3" w14:paraId="03C48562" w14:textId="77777777">
      <w:pPr>
        <w:pStyle w:val="ListParagraph"/>
        <w:numPr>
          <w:ilvl w:val="0"/>
          <w:numId w:val="9"/>
        </w:numPr>
        <w:suppressAutoHyphens/>
        <w:ind w:left="360"/>
        <w:rPr>
          <w:lang w:val="fr-FR"/>
        </w:rPr>
      </w:pPr>
      <w:r>
        <w:rPr>
          <w:lang w:val="fr-BE"/>
        </w:rPr>
        <w:t>Rincez ensuite à l’eau froide (en raison du risque de brûlure).</w:t>
      </w:r>
    </w:p>
    <w:p w:rsidRPr="00596F17" w:rsidR="009717C3" w:rsidP="009717C3" w:rsidRDefault="009717C3" w14:paraId="253DC4F0" w14:textId="77777777">
      <w:pPr>
        <w:rPr>
          <w:lang w:val="fr-FR"/>
        </w:rPr>
      </w:pPr>
    </w:p>
    <w:p w:rsidRPr="00F24B3A" w:rsidR="009717C3" w:rsidP="009717C3" w:rsidRDefault="009717C3" w14:paraId="4DB8F7D7" w14:textId="77777777">
      <w:r>
        <w:rPr>
          <w:lang w:val="fr-BE"/>
        </w:rPr>
        <w:t xml:space="preserve">ATTENTION ! </w:t>
      </w:r>
    </w:p>
    <w:p w:rsidRPr="00596F17" w:rsidR="009717C3" w:rsidP="009717C3" w:rsidRDefault="009717C3" w14:paraId="4C08C5FA" w14:textId="77777777">
      <w:pPr>
        <w:numPr>
          <w:ilvl w:val="0"/>
          <w:numId w:val="8"/>
        </w:numPr>
        <w:suppressAutoHyphens/>
        <w:rPr>
          <w:lang w:val="fr-FR"/>
        </w:rPr>
      </w:pPr>
      <w:r>
        <w:rPr>
          <w:lang w:val="fr-BE"/>
        </w:rPr>
        <w:t>Evitez les brûlures pendant la procédure de désinfection thermique. Laissez couler suffisamment d’eau froide par la suite afin de faire baisser la température dans le circuit.</w:t>
      </w:r>
    </w:p>
    <w:p w:rsidRPr="00596F17" w:rsidR="009717C3" w:rsidP="009717C3" w:rsidRDefault="009717C3" w14:paraId="079FDD9E" w14:textId="77777777">
      <w:pPr>
        <w:numPr>
          <w:ilvl w:val="0"/>
          <w:numId w:val="8"/>
        </w:numPr>
        <w:suppressAutoHyphens/>
        <w:rPr>
          <w:lang w:val="fr-FR"/>
        </w:rPr>
      </w:pPr>
      <w:r>
        <w:rPr>
          <w:lang w:val="fr-BE"/>
        </w:rPr>
        <w:t>Effectuez la désinfection thermique à un moment où personne n'utilise le point de puisage (de préférence la veille de la reprise des activités).</w:t>
      </w:r>
    </w:p>
    <w:p w:rsidRPr="00596F17" w:rsidR="009717C3" w:rsidP="009717C3" w:rsidRDefault="009717C3" w14:paraId="1B05A90D" w14:textId="37503EC9">
      <w:pPr>
        <w:numPr>
          <w:ilvl w:val="0"/>
          <w:numId w:val="8"/>
        </w:numPr>
        <w:suppressAutoHyphens/>
        <w:rPr>
          <w:lang w:val="fr-FR"/>
        </w:rPr>
      </w:pPr>
      <w:r>
        <w:rPr>
          <w:lang w:val="fr-BE"/>
        </w:rPr>
        <w:t xml:space="preserve">Vérifiez au préalable si les canalisations peuvent supporter cette température élevée car il y a un risque de flexion, d’éclatement ou de corrosion accélérée. </w:t>
      </w:r>
    </w:p>
    <w:p w:rsidRPr="00596F17" w:rsidR="009717C3" w:rsidP="009717C3" w:rsidRDefault="009717C3" w14:paraId="43332978" w14:textId="77777777">
      <w:pPr>
        <w:rPr>
          <w:lang w:val="fr-FR"/>
        </w:rPr>
      </w:pPr>
    </w:p>
    <w:p w:rsidRPr="00596F17" w:rsidR="009717C3" w:rsidP="009717C3" w:rsidRDefault="009717C3" w14:paraId="1CCAC0F4" w14:textId="77777777">
      <w:pPr>
        <w:ind w:right="-142"/>
        <w:rPr>
          <w:lang w:val="fr-FR"/>
        </w:rPr>
      </w:pPr>
      <w:bookmarkStart w:name="_GoBack" w:id="0"/>
      <w:r>
        <w:rPr>
          <w:lang w:val="fr-BE"/>
        </w:rPr>
        <w:t xml:space="preserve">Mensura peut vous aider à établir des plans de gestion simplifiés ou détaillés en matière de légionellose. </w:t>
      </w:r>
    </w:p>
    <w:bookmarkEnd w:id="0"/>
    <w:p w:rsidRPr="00596F17" w:rsidR="009717C3" w:rsidP="009717C3" w:rsidRDefault="009717C3" w14:paraId="29591ABF" w14:textId="77777777">
      <w:pPr>
        <w:ind w:right="-142"/>
        <w:rPr>
          <w:lang w:val="fr-FR"/>
        </w:rPr>
      </w:pPr>
    </w:p>
    <w:p w:rsidRPr="00596F17" w:rsidR="009717C3" w:rsidP="009717C3" w:rsidRDefault="009717C3" w14:paraId="5A63DD83" w14:textId="77777777">
      <w:pPr>
        <w:ind w:right="-142"/>
        <w:rPr>
          <w:lang w:val="fr-FR"/>
        </w:rPr>
      </w:pPr>
      <w:r w:rsidRPr="30D8A662" w:rsidR="009717C3">
        <w:rPr>
          <w:lang w:val="fr-BE"/>
        </w:rPr>
        <w:t xml:space="preserve">Complément d'information : </w:t>
      </w:r>
    </w:p>
    <w:p w:rsidR="480E9E10" w:rsidP="30D8A662" w:rsidRDefault="480E9E10" w14:paraId="27C81703" w14:textId="39F5DA73">
      <w:pPr>
        <w:pStyle w:val="Normal"/>
      </w:pPr>
      <w:hyperlink r:id="R3cfd66c1e4ca44a0">
        <w:r w:rsidRPr="30D8A662" w:rsidR="480E9E10">
          <w:rPr>
            <w:rStyle w:val="Hyperlink"/>
            <w:rFonts w:ascii="Calibri" w:hAnsi="Calibri" w:eastAsia="Calibri" w:cs="Calibri"/>
            <w:noProof w:val="0"/>
            <w:sz w:val="22"/>
            <w:szCs w:val="22"/>
            <w:lang w:val="fr-BE"/>
          </w:rPr>
          <w:t>http://environnement.sante.wallonie.be/home/au-quotidien/environnement-interieur/legionellose.html</w:t>
        </w:r>
      </w:hyperlink>
    </w:p>
    <w:p w:rsidRPr="00596F17" w:rsidR="1B86F2BA" w:rsidP="68E05BC8" w:rsidRDefault="1B86F2BA" w14:paraId="691E0F08" w14:textId="07FFA2DC">
      <w:pPr>
        <w:rPr>
          <w:rFonts w:eastAsia="Arial" w:cs="Arial"/>
          <w:sz w:val="14"/>
          <w:szCs w:val="14"/>
          <w:lang w:val="fr-FR"/>
        </w:rPr>
      </w:pPr>
      <w:r w:rsidRPr="04CE02AB" w:rsidR="1B86F2BA">
        <w:rPr>
          <w:rFonts w:eastAsia="Arial" w:cs="Arial"/>
          <w:i w:val="1"/>
          <w:iCs w:val="1"/>
          <w:sz w:val="14"/>
          <w:szCs w:val="14"/>
          <w:lang w:val="fr-BE"/>
        </w:rPr>
        <w:t xml:space="preserve">Ce document a été rédigé le 20/04/2020 </w:t>
      </w:r>
      <w:r w:rsidRPr="04CE02AB" w:rsidR="1B86F2BA">
        <w:rPr>
          <w:rFonts w:eastAsia="Arial" w:cs="Arial"/>
          <w:i w:val="1"/>
          <w:iCs w:val="1"/>
          <w:sz w:val="14"/>
          <w:szCs w:val="14"/>
          <w:lang w:val="fr-BE"/>
        </w:rPr>
        <w:t>sur base</w:t>
      </w:r>
      <w:r w:rsidRPr="04CE02AB" w:rsidR="1B86F2BA">
        <w:rPr>
          <w:rFonts w:eastAsia="Arial" w:cs="Arial"/>
          <w:i w:val="1"/>
          <w:iCs w:val="1"/>
          <w:sz w:val="14"/>
          <w:szCs w:val="14"/>
          <w:lang w:val="fr-BE"/>
        </w:rPr>
        <w:t xml:space="preserve"> des mesures en vigueur à cette date.</w:t>
      </w:r>
    </w:p>
    <w:p w:rsidR="04CE02AB" w:rsidP="04CE02AB" w:rsidRDefault="04CE02AB" w14:paraId="494AB593" w14:textId="56B0D7C6">
      <w:pPr>
        <w:pStyle w:val="Normal"/>
        <w:rPr>
          <w:rFonts w:eastAsia="Arial" w:cs="Arial"/>
          <w:i w:val="1"/>
          <w:iCs w:val="1"/>
          <w:sz w:val="14"/>
          <w:szCs w:val="14"/>
          <w:lang w:val="fr-BE"/>
        </w:rPr>
      </w:pPr>
    </w:p>
    <w:p w:rsidRPr="00596F17" w:rsidR="009717C3" w:rsidP="009717C3" w:rsidRDefault="009717C3" w14:paraId="6726CEA0" w14:textId="77777777">
      <w:pPr>
        <w:ind w:right="-142"/>
        <w:rPr>
          <w:lang w:val="fr-FR"/>
        </w:rPr>
      </w:pPr>
    </w:p>
    <w:p w:rsidRPr="00596F17" w:rsidR="003B4CA3" w:rsidP="003B4CA3" w:rsidRDefault="003B4CA3" w14:paraId="6300E0CF" w14:textId="77777777">
      <w:pPr>
        <w:spacing w:before="40" w:after="40" w:line="276" w:lineRule="auto"/>
        <w:rPr>
          <w:lang w:val="fr-FR"/>
        </w:rPr>
      </w:pPr>
    </w:p>
    <w:sectPr w:rsidRPr="00596F17" w:rsidR="003B4CA3" w:rsidSect="00C85EE0">
      <w:headerReference w:type="default" r:id="rId11"/>
      <w:footerReference w:type="default" r:id="rId12"/>
      <w:footerReference w:type="first" r:id="rId13"/>
      <w:pgSz w:w="11906" w:h="16838" w:orient="portrait" w:code="9"/>
      <w:pgMar w:top="1820" w:right="709" w:bottom="1418" w:left="1843" w:header="709"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F7B55" w:rsidRDefault="00BF7B55" w14:paraId="39B3EB42" w14:textId="77777777">
      <w:r>
        <w:separator/>
      </w:r>
    </w:p>
  </w:endnote>
  <w:endnote w:type="continuationSeparator" w:id="0">
    <w:p w:rsidR="00BF7B55" w:rsidRDefault="00BF7B55" w14:paraId="487EE3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sdt>
    <w:sdtPr>
      <w:id w:val="1857457369"/>
      <w:docPartObj>
        <w:docPartGallery w:val="Page Numbers (Bottom of Page)"/>
        <w:docPartUnique/>
      </w:docPartObj>
    </w:sdtPr>
    <w:sdtEndPr>
      <w:rPr>
        <w:noProof/>
      </w:rPr>
    </w:sdtEndPr>
    <w:sdtContent>
      <w:p w:rsidR="004F083B" w:rsidP="00BA56D2" w:rsidRDefault="00596F17" w14:paraId="15D3BF8C" w14:textId="1ED5E57B">
        <w:pPr>
          <w:pStyle w:val="Footer"/>
          <w:tabs>
            <w:tab w:val="clear" w:pos="9072"/>
            <w:tab w:val="right" w:pos="9214"/>
          </w:tabs>
          <w:jc w:val="right"/>
        </w:pPr>
        <w:r w:rsidRPr="008D07D1">
          <w:rPr>
            <w:rFonts w:ascii="Arial Narrow" w:hAnsi="Arial Narrow"/>
            <w:noProof/>
            <w:sz w:val="10"/>
            <w:szCs w:val="10"/>
            <w:lang w:val="en-US" w:eastAsia="en-US"/>
          </w:rPr>
          <w:drawing>
            <wp:anchor distT="0" distB="0" distL="114300" distR="114300" simplePos="0" relativeHeight="251664384" behindDoc="1" locked="0" layoutInCell="1" allowOverlap="1" wp14:anchorId="0ED15F73" wp14:editId="5D610689">
              <wp:simplePos x="0" y="0"/>
              <wp:positionH relativeFrom="column">
                <wp:posOffset>-757326</wp:posOffset>
              </wp:positionH>
              <wp:positionV relativeFrom="paragraph">
                <wp:posOffset>-706837</wp:posOffset>
              </wp:positionV>
              <wp:extent cx="7140162" cy="1299769"/>
              <wp:effectExtent l="0" t="0" r="3810" b="0"/>
              <wp:wrapNone/>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40162" cy="12997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7689" w:rsidP="00BA56D2" w:rsidRDefault="00997689" w14:paraId="496CEC81" w14:textId="77777777">
        <w:pPr>
          <w:pStyle w:val="Footer"/>
          <w:tabs>
            <w:tab w:val="clear" w:pos="9072"/>
            <w:tab w:val="right" w:pos="9214"/>
          </w:tabs>
          <w:jc w:val="right"/>
        </w:pPr>
      </w:p>
      <w:p w:rsidR="004F083B" w:rsidP="00BA56D2" w:rsidRDefault="004F083B" w14:paraId="15D3BF8D" w14:textId="7A78450A">
        <w:pPr>
          <w:pStyle w:val="Footer"/>
          <w:tabs>
            <w:tab w:val="clear" w:pos="9072"/>
            <w:tab w:val="right" w:pos="9214"/>
          </w:tabs>
          <w:jc w:val="right"/>
        </w:pPr>
        <w:r>
          <w:rPr>
            <w:lang w:val="fr-BE"/>
          </w:rPr>
          <w:fldChar w:fldCharType="begin"/>
        </w:r>
        <w:r>
          <w:rPr>
            <w:lang w:val="fr-BE"/>
          </w:rPr>
          <w:instrText xml:space="preserve"> PAGE   \* MERGEFORMAT </w:instrText>
        </w:r>
        <w:r>
          <w:rPr>
            <w:lang w:val="fr-BE"/>
          </w:rPr>
          <w:fldChar w:fldCharType="separate"/>
        </w:r>
        <w:r>
          <w:rPr>
            <w:noProof/>
            <w:lang w:val="fr-BE"/>
          </w:rPr>
          <w:t>1</w:t>
        </w:r>
        <w:r>
          <w:rPr>
            <w:noProof/>
            <w:lang w:val="fr-BE"/>
          </w:rPr>
          <w:fldChar w:fldCharType="end"/>
        </w:r>
        <w:r>
          <w:rPr>
            <w:noProof/>
            <w:lang w:val="fr-BE"/>
          </w:rPr>
          <w:t xml:space="preserve">/ </w:t>
        </w:r>
        <w:r>
          <w:rPr>
            <w:noProof/>
            <w:lang w:val="fr-BE"/>
          </w:rPr>
          <w:fldChar w:fldCharType="begin"/>
        </w:r>
        <w:r>
          <w:rPr>
            <w:noProof/>
            <w:lang w:val="fr-BE"/>
          </w:rPr>
          <w:instrText xml:space="preserve"> NUMPAGES   \* MERGEFORMAT </w:instrText>
        </w:r>
        <w:r>
          <w:rPr>
            <w:noProof/>
            <w:lang w:val="fr-BE"/>
          </w:rPr>
          <w:fldChar w:fldCharType="separate"/>
        </w:r>
        <w:r>
          <w:rPr>
            <w:noProof/>
            <w:lang w:val="fr-BE"/>
          </w:rPr>
          <w:t>4</w:t>
        </w:r>
        <w:r>
          <w:rPr>
            <w:noProof/>
            <w:lang w:val="fr-BE"/>
          </w:rPr>
          <w:fldChar w:fldCharType="end"/>
        </w:r>
      </w:p>
    </w:sdtContent>
  </w:sdt>
  <w:p w:rsidRPr="00376842" w:rsidR="004F083B" w:rsidP="00B677B7" w:rsidRDefault="004F083B" w14:paraId="15D3BF8E" w14:textId="3B983971">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083B" w:rsidP="00B91549" w:rsidRDefault="004F083B" w14:paraId="15D3BF90" w14:textId="77777777">
    <w:pPr>
      <w:pStyle w:val="Footer"/>
      <w:jc w:val="center"/>
    </w:pPr>
    <w:r>
      <w:rPr>
        <w:lang w:val="fr-BE"/>
      </w:rPr>
      <w:fldChar w:fldCharType="begin"/>
    </w:r>
    <w:r>
      <w:rPr>
        <w:lang w:val="fr-BE"/>
      </w:rPr>
      <w:instrText xml:space="preserve"> PAGE   \* MERGEFORMAT </w:instrText>
    </w:r>
    <w:r>
      <w:rPr>
        <w:lang w:val="fr-BE"/>
      </w:rPr>
      <w:fldChar w:fldCharType="separate"/>
    </w:r>
    <w:r>
      <w:rPr>
        <w:noProof/>
        <w:lang w:val="fr-BE"/>
      </w:rPr>
      <w:t>2</w:t>
    </w:r>
    <w:r>
      <w:rPr>
        <w:lang w:val="fr-BE"/>
      </w:rPr>
      <w:fldChar w:fldCharType="end"/>
    </w:r>
    <w:r>
      <w:rPr>
        <w:lang w:val="fr-BE"/>
      </w:rPr>
      <w:t>/</w:t>
    </w:r>
    <w:r>
      <w:rPr>
        <w:lang w:val="fr-BE"/>
      </w:rPr>
      <w:fldChar w:fldCharType="begin"/>
    </w:r>
    <w:r>
      <w:rPr>
        <w:lang w:val="fr-BE"/>
      </w:rPr>
      <w:instrText>NUMPAGES   \* MERGEFORMAT</w:instrText>
    </w:r>
    <w:r>
      <w:rPr>
        <w:lang w:val="fr-BE"/>
      </w:rPr>
      <w:fldChar w:fldCharType="separate"/>
    </w:r>
    <w:r>
      <w:rPr>
        <w:noProof/>
        <w:lang w:val="fr-BE"/>
      </w:rPr>
      <w:t>1</w:t>
    </w:r>
    <w:r>
      <w:rPr>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F7B55" w:rsidRDefault="00BF7B55" w14:paraId="4B11E678" w14:textId="77777777">
      <w:r>
        <w:separator/>
      </w:r>
    </w:p>
  </w:footnote>
  <w:footnote w:type="continuationSeparator" w:id="0">
    <w:p w:rsidR="00BF7B55" w:rsidRDefault="00BF7B55" w14:paraId="4B2666D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1B228D" w:rsidRDefault="001B228D" w14:paraId="4FBD7060" w14:textId="4EFE41CC">
    <w:pPr>
      <w:pStyle w:val="Header"/>
    </w:pPr>
    <w:r>
      <w:rPr>
        <w:noProof/>
        <w:lang w:val="fr-BE"/>
      </w:rPr>
      <w:drawing>
        <wp:anchor distT="0" distB="0" distL="114300" distR="114300" simplePos="0" relativeHeight="251662336" behindDoc="1" locked="0" layoutInCell="1" allowOverlap="1" wp14:anchorId="0B2F06DB" wp14:editId="35067AAB">
          <wp:simplePos x="0" y="0"/>
          <wp:positionH relativeFrom="column">
            <wp:posOffset>-753110</wp:posOffset>
          </wp:positionH>
          <wp:positionV relativeFrom="paragraph">
            <wp:posOffset>-135890</wp:posOffset>
          </wp:positionV>
          <wp:extent cx="1888490" cy="628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r w:rsidR="30D8A662">
      <w:rPr/>
      <w:t/>
    </w:r>
    <w:r w:rsidR="235DAFF1">
      <w:rPr/>
      <w:t/>
    </w:r>
    <w:r w:rsidR="04CE02AB">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C1B76"/>
    <w:multiLevelType w:val="hybridMultilevel"/>
    <w:tmpl w:val="FFECA8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D12DF6"/>
    <w:multiLevelType w:val="hybridMultilevel"/>
    <w:tmpl w:val="89620C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hint="default" w:ascii="Arial" w:hAnsi="Arial" w:eastAsia="Times New Roman" w:cs="Arial"/>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A03E6F"/>
    <w:multiLevelType w:val="hybridMultilevel"/>
    <w:tmpl w:val="499C42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0D1276C"/>
    <w:multiLevelType w:val="hybridMultilevel"/>
    <w:tmpl w:val="0E620E60"/>
    <w:lvl w:ilvl="0" w:tplc="A7D2D5B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796C46"/>
    <w:multiLevelType w:val="hybridMultilevel"/>
    <w:tmpl w:val="D590913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B9042E6"/>
    <w:multiLevelType w:val="hybridMultilevel"/>
    <w:tmpl w:val="8218364A"/>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79EA69FB"/>
    <w:multiLevelType w:val="hybridMultilevel"/>
    <w:tmpl w:val="390AA50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8"/>
  </w:num>
  <w:num w:numId="2">
    <w:abstractNumId w:val="2"/>
  </w:num>
  <w:num w:numId="3">
    <w:abstractNumId w:val="3"/>
  </w:num>
  <w:num w:numId="4">
    <w:abstractNumId w:val="0"/>
  </w:num>
  <w:num w:numId="5">
    <w:abstractNumId w:val="4"/>
  </w:num>
  <w:num w:numId="6">
    <w:abstractNumId w:val="1"/>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CE1411"/>
    <w:rsid w:val="00011B5C"/>
    <w:rsid w:val="00050DC1"/>
    <w:rsid w:val="00056B39"/>
    <w:rsid w:val="00074325"/>
    <w:rsid w:val="00090DBF"/>
    <w:rsid w:val="000B5D2C"/>
    <w:rsid w:val="00136D97"/>
    <w:rsid w:val="00147CDF"/>
    <w:rsid w:val="00150CCB"/>
    <w:rsid w:val="00156F02"/>
    <w:rsid w:val="001618AF"/>
    <w:rsid w:val="001674B3"/>
    <w:rsid w:val="001A70B6"/>
    <w:rsid w:val="001B228D"/>
    <w:rsid w:val="001B6BFE"/>
    <w:rsid w:val="001C27CB"/>
    <w:rsid w:val="001C38A1"/>
    <w:rsid w:val="001E7F11"/>
    <w:rsid w:val="00212F32"/>
    <w:rsid w:val="00214923"/>
    <w:rsid w:val="00291795"/>
    <w:rsid w:val="002A489E"/>
    <w:rsid w:val="002D5E16"/>
    <w:rsid w:val="00337BA3"/>
    <w:rsid w:val="00356AFB"/>
    <w:rsid w:val="00364D5A"/>
    <w:rsid w:val="00365811"/>
    <w:rsid w:val="00376842"/>
    <w:rsid w:val="003841CC"/>
    <w:rsid w:val="003B4CA3"/>
    <w:rsid w:val="003C049F"/>
    <w:rsid w:val="00445E5E"/>
    <w:rsid w:val="00465E32"/>
    <w:rsid w:val="004879EB"/>
    <w:rsid w:val="004D099F"/>
    <w:rsid w:val="004F083B"/>
    <w:rsid w:val="004F2DEA"/>
    <w:rsid w:val="00511A82"/>
    <w:rsid w:val="00555393"/>
    <w:rsid w:val="00596F17"/>
    <w:rsid w:val="005D5BD6"/>
    <w:rsid w:val="00603E74"/>
    <w:rsid w:val="00607013"/>
    <w:rsid w:val="00651682"/>
    <w:rsid w:val="00674EB9"/>
    <w:rsid w:val="00680CFC"/>
    <w:rsid w:val="00742D41"/>
    <w:rsid w:val="00761A2F"/>
    <w:rsid w:val="00783BCB"/>
    <w:rsid w:val="00783D69"/>
    <w:rsid w:val="007D211A"/>
    <w:rsid w:val="00804FF9"/>
    <w:rsid w:val="0083496A"/>
    <w:rsid w:val="008371E3"/>
    <w:rsid w:val="00887A5E"/>
    <w:rsid w:val="008F32E0"/>
    <w:rsid w:val="0092414B"/>
    <w:rsid w:val="009242FD"/>
    <w:rsid w:val="00937443"/>
    <w:rsid w:val="009717C3"/>
    <w:rsid w:val="00996C45"/>
    <w:rsid w:val="00997689"/>
    <w:rsid w:val="009B2315"/>
    <w:rsid w:val="009D1EF2"/>
    <w:rsid w:val="009D65C2"/>
    <w:rsid w:val="009E5294"/>
    <w:rsid w:val="009F02D9"/>
    <w:rsid w:val="00A40B8B"/>
    <w:rsid w:val="00A54374"/>
    <w:rsid w:val="00A744ED"/>
    <w:rsid w:val="00AC5D5D"/>
    <w:rsid w:val="00AD10DE"/>
    <w:rsid w:val="00AD4F18"/>
    <w:rsid w:val="00AD69A4"/>
    <w:rsid w:val="00B4582E"/>
    <w:rsid w:val="00B677B7"/>
    <w:rsid w:val="00B91549"/>
    <w:rsid w:val="00BA21AB"/>
    <w:rsid w:val="00BA56D2"/>
    <w:rsid w:val="00BE1708"/>
    <w:rsid w:val="00BF7B55"/>
    <w:rsid w:val="00C05F08"/>
    <w:rsid w:val="00C16533"/>
    <w:rsid w:val="00C35526"/>
    <w:rsid w:val="00C632DD"/>
    <w:rsid w:val="00C80FE4"/>
    <w:rsid w:val="00C85EE0"/>
    <w:rsid w:val="00C96C1D"/>
    <w:rsid w:val="00CA24A4"/>
    <w:rsid w:val="00CC045E"/>
    <w:rsid w:val="00CD2358"/>
    <w:rsid w:val="00CE1411"/>
    <w:rsid w:val="00D10B8B"/>
    <w:rsid w:val="00D3611E"/>
    <w:rsid w:val="00D37887"/>
    <w:rsid w:val="00D54820"/>
    <w:rsid w:val="00D64613"/>
    <w:rsid w:val="00D65FF4"/>
    <w:rsid w:val="00D735F0"/>
    <w:rsid w:val="00D8060A"/>
    <w:rsid w:val="00D925D4"/>
    <w:rsid w:val="00DE2A01"/>
    <w:rsid w:val="00E1582B"/>
    <w:rsid w:val="00E329DB"/>
    <w:rsid w:val="00E47221"/>
    <w:rsid w:val="00ED2051"/>
    <w:rsid w:val="00ED4E45"/>
    <w:rsid w:val="00EE2A9D"/>
    <w:rsid w:val="00F27A64"/>
    <w:rsid w:val="00F6117E"/>
    <w:rsid w:val="00F621B0"/>
    <w:rsid w:val="00F97A51"/>
    <w:rsid w:val="00FB46C9"/>
    <w:rsid w:val="00FB4F26"/>
    <w:rsid w:val="00FB6003"/>
    <w:rsid w:val="04CE02AB"/>
    <w:rsid w:val="1717A84F"/>
    <w:rsid w:val="1B86F2BA"/>
    <w:rsid w:val="1F052997"/>
    <w:rsid w:val="235DAFF1"/>
    <w:rsid w:val="2FD1E425"/>
    <w:rsid w:val="30D8A662"/>
    <w:rsid w:val="419BC96E"/>
    <w:rsid w:val="42775433"/>
    <w:rsid w:val="431A77FC"/>
    <w:rsid w:val="480E9E10"/>
    <w:rsid w:val="63427A74"/>
    <w:rsid w:val="68E05BC8"/>
    <w:rsid w:val="6FF69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D3BF5E"/>
  <w15:docId w15:val="{A72094AD-2C17-4BA8-A434-608EDA42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677B7"/>
    <w:rPr>
      <w:rFonts w:ascii="Arial" w:hAnsi="Arial"/>
      <w:sz w:val="18"/>
      <w:szCs w:val="18"/>
      <w:lang w:val="nl-NL" w:eastAsia="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uiPriority w:val="59"/>
    <w:rsid w:val="00B677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styleId="FooterChar" w:customStyle="1">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1B6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environnement.sante.wallonie.be/home/au-quotidien/environnement-interieur/legionellose.html" TargetMode="External" Id="R3cfd66c1e4ca44a0" /><Relationship Type="http://schemas.openxmlformats.org/officeDocument/2006/relationships/glossaryDocument" Target="/word/glossary/document.xml" Id="Rf2c3fb8bb415406b"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f27e8e2-ff87-4464-9354-b0a93f7f150d}"/>
      </w:docPartPr>
      <w:docPartBody>
        <w:p w14:paraId="6D957BD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D9F08C221F24AACC62A9AC54E339E" ma:contentTypeVersion="7" ma:contentTypeDescription="Crée un document." ma:contentTypeScope="" ma:versionID="4b40e61f4941c3cdefa796b967a71ac1">
  <xsd:schema xmlns:xsd="http://www.w3.org/2001/XMLSchema" xmlns:xs="http://www.w3.org/2001/XMLSchema" xmlns:p="http://schemas.microsoft.com/office/2006/metadata/properties" xmlns:ns2="d547f468-fca5-48eb-b317-11ba7d3cc56e" xmlns:ns3="2ff13f8c-9062-443b-ae80-3ec269182e55" targetNamespace="http://schemas.microsoft.com/office/2006/metadata/properties" ma:root="true" ma:fieldsID="3e6cdc2f47237e195ae74d81cfa602cd" ns2:_="" ns3:_="">
    <xsd:import namespace="d547f468-fca5-48eb-b317-11ba7d3cc56e"/>
    <xsd:import namespace="2ff13f8c-9062-443b-ae80-3ec269182e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7f468-fca5-48eb-b317-11ba7d3cc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13f8c-9062-443b-ae80-3ec269182e5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4F8BA-8CAD-4A81-9CBA-B79EBEA1454D}"/>
</file>

<file path=customXml/itemProps2.xml><?xml version="1.0" encoding="utf-8"?>
<ds:datastoreItem xmlns:ds="http://schemas.openxmlformats.org/officeDocument/2006/customXml" ds:itemID="{65A84B42-9D02-48FF-950C-4DA1F8B32D4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ff13f8c-9062-443b-ae80-3ec269182e55"/>
    <ds:schemaRef ds:uri="http://purl.org/dc/terms/"/>
    <ds:schemaRef ds:uri="http://schemas.openxmlformats.org/package/2006/metadata/core-properties"/>
    <ds:schemaRef ds:uri="d547f468-fca5-48eb-b317-11ba7d3cc56e"/>
    <ds:schemaRef ds:uri="http://www.w3.org/XML/1998/namespace"/>
    <ds:schemaRef ds:uri="http://purl.org/dc/dcmitype/"/>
  </ds:schemaRefs>
</ds:datastoreItem>
</file>

<file path=customXml/itemProps3.xml><?xml version="1.0" encoding="utf-8"?>
<ds:datastoreItem xmlns:ds="http://schemas.openxmlformats.org/officeDocument/2006/customXml" ds:itemID="{678462F0-9A83-4D0A-86FD-F987FCC65DF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M.S.R. - Famedi</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Afwijking ter beschikking stellen verzorgingslokaal</dc:title>
  <dc:creator>Beyen Kristien</dc:creator>
  <lastModifiedBy>Verdonck Kathleen</lastModifiedBy>
  <revision>5</revision>
  <lastPrinted>2013-10-28T09:56:00.0000000Z</lastPrinted>
  <dcterms:created xsi:type="dcterms:W3CDTF">2020-04-15T11:41:00.0000000Z</dcterms:created>
  <dcterms:modified xsi:type="dcterms:W3CDTF">2020-04-16T07:59:11.4785596Z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0x010100498D9F08C221F24AACC62A9AC54E339E</vt:lpwstr>
  </property>
  <property fmtid="{D5CDD505-2E9C-101B-9397-08002B2CF9AE}" pid="3" name="Order">
    <vt:r8>63900</vt:r8>
  </property>
  <property fmtid="{D5CDD505-2E9C-101B-9397-08002B2CF9AE}" pid="4" name="xd_ProgID">
    <vt:lpwstr/>
  </property>
  <property fmtid="{D5CDD505-2E9C-101B-9397-08002B2CF9AE}" pid="5" name="TemplateUrl">
    <vt:lpwstr/>
  </property>
  <property fmtid="{D5CDD505-2E9C-101B-9397-08002B2CF9AE}" pid="6" name="TFDocumentUniqueID">
    <vt:lpwstr>52302</vt:lpwstr>
  </property>
  <property fmtid="{D5CDD505-2E9C-101B-9397-08002B2CF9AE}" pid="7" name="Regio">
    <vt:lpwstr>2;#Algemeen|1f7229b4-089b-4f19-89d4-48330f9c1306</vt:lpwstr>
  </property>
  <property fmtid="{D5CDD505-2E9C-101B-9397-08002B2CF9AE}" pid="8" name="Segmentatie">
    <vt:lpwstr>3;#Algemeen|0561bacb-d94f-4378-bfc7-b274b105ed0a</vt:lpwstr>
  </property>
  <property fmtid="{D5CDD505-2E9C-101B-9397-08002B2CF9AE}" pid="9" name="Proces">
    <vt:lpwstr>30;#Bedrijfsbezoeken|e2d6fd2a-d748-4f74-8424-87a0b56b37e1</vt:lpwstr>
  </property>
  <property fmtid="{D5CDD505-2E9C-101B-9397-08002B2CF9AE}" pid="10" name="Footer">
    <vt:lpwstr>OK</vt:lpwstr>
  </property>
  <property fmtid="{D5CDD505-2E9C-101B-9397-08002B2CF9AE}" pid="11" name="Rank">
    <vt:lpwstr>0405 Risicobeheersing - Interventies</vt:lpwstr>
  </property>
  <property fmtid="{D5CDD505-2E9C-101B-9397-08002B2CF9AE}" pid="12" name="Procesnr">
    <vt:lpwstr>C0821 Arbeidsgeneeskunde</vt:lpwstr>
  </property>
  <property fmtid="{D5CDD505-2E9C-101B-9397-08002B2CF9AE}" pid="13" name="Editor">
    <vt:lpwstr>27</vt:lpwstr>
  </property>
  <property fmtid="{D5CDD505-2E9C-101B-9397-08002B2CF9AE}" pid="14" name="Onderwerp">
    <vt:lpwstr>EHBO</vt:lpwstr>
  </property>
</Properties>
</file>